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608" w:rsidRPr="00164608" w:rsidRDefault="00106907" w:rsidP="00164608">
      <w:pPr>
        <w:spacing w:after="240"/>
        <w:rPr>
          <w:b/>
          <w:bCs/>
          <w:sz w:val="28"/>
        </w:rPr>
      </w:pPr>
      <w:r>
        <w:rPr>
          <w:b/>
          <w:bCs/>
          <w:sz w:val="28"/>
        </w:rPr>
        <w:t>Dimensionera rätt med Bosch Compress 7001i LWM</w:t>
      </w:r>
      <w:r w:rsidR="009144AD">
        <w:rPr>
          <w:b/>
          <w:bCs/>
          <w:sz w:val="28"/>
        </w:rPr>
        <w:t>.</w:t>
      </w:r>
    </w:p>
    <w:p w:rsidR="00403746" w:rsidRPr="00403746" w:rsidRDefault="00723FB9" w:rsidP="00403746">
      <w:pPr>
        <w:rPr>
          <w:b/>
          <w:bCs/>
          <w:sz w:val="28"/>
        </w:rPr>
      </w:pPr>
      <w:r>
        <w:rPr>
          <w:b/>
          <w:bCs/>
          <w:sz w:val="28"/>
        </w:rPr>
        <w:t>Maxlängd borrhål och ytjordslinga</w:t>
      </w:r>
    </w:p>
    <w:p w:rsidR="00615BAC" w:rsidRDefault="00403746" w:rsidP="00403746">
      <w:r>
        <w:t>Köldbärarpumpen sätter en gräns för hur långt borrhålet tillsammans med matarledning kan vara. De faktorer som styr maxlängden är värmepumpsmodell, systemtemperatur och typ av slang, där PEM 40x2,4 är den absolut vanligaste.</w:t>
      </w:r>
    </w:p>
    <w:p w:rsidR="00403746" w:rsidRDefault="00615BAC" w:rsidP="00403746">
      <w:r>
        <w:t>Värmesystemets temperaturbehov har ett stort inflytande eftersom ett lågtempererat system ger en högre värmefaktor och effektivitet. Samtidigt kräver detta ett betydligt större flöde i brinekretsen vilket ökar tryckfallet i kretsen.</w:t>
      </w:r>
      <w:r>
        <w:br/>
      </w:r>
      <w:r w:rsidR="00403746">
        <w:br/>
        <w:t xml:space="preserve">Maxlängden är baserad på att husets toppeffekt uppgår till värmepumpen maxeffekt, dvs att inverter-värmepumpen </w:t>
      </w:r>
      <w:r w:rsidR="002A4629">
        <w:t xml:space="preserve">arbetar med </w:t>
      </w:r>
      <w:r w:rsidR="00403746">
        <w:t xml:space="preserve">100% drift under </w:t>
      </w:r>
      <w:r w:rsidR="002A4629">
        <w:t>riktigt kalla dagar, och då med maximalt delta T av 4°K</w:t>
      </w:r>
      <w:r w:rsidR="00403746">
        <w:t xml:space="preserve">. </w:t>
      </w:r>
    </w:p>
    <w:p w:rsidR="00403746" w:rsidRDefault="00403746" w:rsidP="00403746"/>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2"/>
        <w:gridCol w:w="708"/>
        <w:gridCol w:w="718"/>
        <w:gridCol w:w="992"/>
        <w:gridCol w:w="850"/>
        <w:gridCol w:w="844"/>
        <w:gridCol w:w="990"/>
        <w:gridCol w:w="851"/>
        <w:gridCol w:w="850"/>
        <w:gridCol w:w="992"/>
      </w:tblGrid>
      <w:tr w:rsidR="00880E32" w:rsidTr="00087DD9">
        <w:trPr>
          <w:trHeight w:val="555"/>
        </w:trPr>
        <w:tc>
          <w:tcPr>
            <w:tcW w:w="1272" w:type="dxa"/>
            <w:tcMar>
              <w:top w:w="0" w:type="dxa"/>
              <w:left w:w="108" w:type="dxa"/>
              <w:bottom w:w="0" w:type="dxa"/>
              <w:right w:w="108" w:type="dxa"/>
            </w:tcMar>
            <w:vAlign w:val="bottom"/>
            <w:hideMark/>
          </w:tcPr>
          <w:p w:rsidR="00880E32" w:rsidRPr="009144AD" w:rsidRDefault="00880E32" w:rsidP="00D63AF0">
            <w:pPr>
              <w:jc w:val="center"/>
              <w:rPr>
                <w:rFonts w:ascii="Arial" w:hAnsi="Arial" w:cs="Arial"/>
                <w:b/>
                <w:color w:val="000000"/>
                <w:szCs w:val="20"/>
              </w:rPr>
            </w:pPr>
          </w:p>
          <w:p w:rsidR="00880E32" w:rsidRPr="009144AD" w:rsidRDefault="00880E32" w:rsidP="00D63AF0">
            <w:pPr>
              <w:jc w:val="center"/>
              <w:rPr>
                <w:rFonts w:ascii="Arial" w:hAnsi="Arial" w:cs="Arial"/>
                <w:b/>
                <w:color w:val="000000"/>
                <w:sz w:val="20"/>
                <w:szCs w:val="20"/>
              </w:rPr>
            </w:pPr>
          </w:p>
        </w:tc>
        <w:tc>
          <w:tcPr>
            <w:tcW w:w="7795" w:type="dxa"/>
            <w:gridSpan w:val="9"/>
          </w:tcPr>
          <w:p w:rsidR="00880E32" w:rsidRPr="008A2D65" w:rsidRDefault="00880E32" w:rsidP="00706BE2">
            <w:pPr>
              <w:jc w:val="center"/>
              <w:rPr>
                <w:rFonts w:ascii="Arial" w:hAnsi="Arial" w:cs="Arial"/>
                <w:b/>
                <w:color w:val="000000"/>
                <w:sz w:val="20"/>
                <w:szCs w:val="20"/>
              </w:rPr>
            </w:pPr>
            <w:r>
              <w:rPr>
                <w:rFonts w:ascii="Arial" w:hAnsi="Arial" w:cs="Arial"/>
                <w:b/>
                <w:color w:val="000000"/>
                <w:sz w:val="24"/>
                <w:szCs w:val="20"/>
              </w:rPr>
              <w:t>Max borrhålsdjup</w:t>
            </w:r>
            <w:r w:rsidR="00706BE2">
              <w:rPr>
                <w:rFonts w:ascii="Arial" w:hAnsi="Arial" w:cs="Arial"/>
                <w:b/>
                <w:color w:val="000000"/>
                <w:sz w:val="24"/>
                <w:szCs w:val="20"/>
              </w:rPr>
              <w:t>(m)</w:t>
            </w:r>
            <w:r>
              <w:rPr>
                <w:rFonts w:ascii="Arial" w:hAnsi="Arial" w:cs="Arial"/>
                <w:b/>
                <w:color w:val="000000"/>
                <w:sz w:val="24"/>
                <w:szCs w:val="20"/>
              </w:rPr>
              <w:t xml:space="preserve"> inkl matarledning 2x6m</w:t>
            </w:r>
            <w:r w:rsidRPr="008A2D65">
              <w:rPr>
                <w:rFonts w:ascii="Arial" w:hAnsi="Arial" w:cs="Arial"/>
                <w:b/>
                <w:color w:val="000000"/>
                <w:sz w:val="24"/>
                <w:szCs w:val="20"/>
              </w:rPr>
              <w:t xml:space="preserve"> </w:t>
            </w:r>
            <w:r>
              <w:rPr>
                <w:rFonts w:ascii="Arial" w:hAnsi="Arial" w:cs="Arial"/>
                <w:b/>
                <w:color w:val="000000"/>
                <w:sz w:val="24"/>
                <w:szCs w:val="20"/>
              </w:rPr>
              <w:br/>
              <w:t>beroende på kollektor &amp; systemtyp</w:t>
            </w:r>
          </w:p>
        </w:tc>
      </w:tr>
      <w:tr w:rsidR="00706BE2" w:rsidTr="00087DD9">
        <w:trPr>
          <w:trHeight w:val="258"/>
        </w:trPr>
        <w:tc>
          <w:tcPr>
            <w:tcW w:w="1272" w:type="dxa"/>
            <w:vAlign w:val="center"/>
          </w:tcPr>
          <w:p w:rsidR="00706BE2" w:rsidRDefault="00706BE2" w:rsidP="00706BE2">
            <w:pPr>
              <w:rPr>
                <w:rFonts w:ascii="Arial" w:hAnsi="Arial" w:cs="Arial"/>
                <w:color w:val="000000"/>
                <w:sz w:val="20"/>
                <w:szCs w:val="20"/>
              </w:rPr>
            </w:pPr>
            <w:r>
              <w:rPr>
                <w:rFonts w:ascii="Arial" w:hAnsi="Arial" w:cs="Arial"/>
                <w:color w:val="000000"/>
                <w:sz w:val="20"/>
                <w:szCs w:val="20"/>
              </w:rPr>
              <w:t>Antal slingor</w:t>
            </w:r>
          </w:p>
        </w:tc>
        <w:tc>
          <w:tcPr>
            <w:tcW w:w="5102" w:type="dxa"/>
            <w:gridSpan w:val="6"/>
          </w:tcPr>
          <w:p w:rsidR="00706BE2" w:rsidRDefault="00706BE2" w:rsidP="00706BE2">
            <w:pPr>
              <w:jc w:val="center"/>
              <w:rPr>
                <w:rFonts w:ascii="Arial" w:hAnsi="Arial" w:cs="Arial"/>
                <w:color w:val="000000"/>
                <w:sz w:val="20"/>
                <w:szCs w:val="20"/>
                <w:lang w:val="en-US"/>
              </w:rPr>
            </w:pPr>
            <w:r>
              <w:rPr>
                <w:rFonts w:ascii="Arial" w:hAnsi="Arial" w:cs="Arial"/>
                <w:color w:val="000000"/>
                <w:sz w:val="20"/>
                <w:szCs w:val="20"/>
                <w:lang w:val="en-US"/>
              </w:rPr>
              <w:t>1</w:t>
            </w:r>
            <w:r>
              <w:rPr>
                <w:rFonts w:ascii="Arial" w:hAnsi="Arial" w:cs="Arial"/>
                <w:color w:val="000000"/>
                <w:sz w:val="20"/>
                <w:szCs w:val="20"/>
                <w:vertAlign w:val="superscript"/>
                <w:lang w:val="en-US"/>
              </w:rPr>
              <w:t>st</w:t>
            </w:r>
            <w:r>
              <w:rPr>
                <w:rFonts w:ascii="Arial" w:hAnsi="Arial" w:cs="Arial"/>
                <w:color w:val="000000"/>
                <w:sz w:val="20"/>
                <w:szCs w:val="20"/>
                <w:lang w:val="en-US"/>
              </w:rPr>
              <w:t xml:space="preserve"> borrhål</w:t>
            </w:r>
          </w:p>
        </w:tc>
        <w:tc>
          <w:tcPr>
            <w:tcW w:w="2693" w:type="dxa"/>
            <w:gridSpan w:val="3"/>
          </w:tcPr>
          <w:p w:rsidR="00706BE2" w:rsidRDefault="00706BE2" w:rsidP="00706BE2">
            <w:pPr>
              <w:jc w:val="center"/>
              <w:rPr>
                <w:rFonts w:ascii="Arial" w:hAnsi="Arial" w:cs="Arial"/>
                <w:color w:val="000000"/>
                <w:sz w:val="20"/>
                <w:szCs w:val="20"/>
              </w:rPr>
            </w:pPr>
            <w:r>
              <w:rPr>
                <w:rFonts w:ascii="Arial" w:hAnsi="Arial" w:cs="Arial"/>
                <w:color w:val="000000"/>
                <w:sz w:val="20"/>
                <w:szCs w:val="20"/>
                <w:lang w:val="en-US"/>
              </w:rPr>
              <w:t>2</w:t>
            </w:r>
            <w:r>
              <w:rPr>
                <w:rFonts w:ascii="Arial" w:hAnsi="Arial" w:cs="Arial"/>
                <w:color w:val="000000"/>
                <w:sz w:val="20"/>
                <w:szCs w:val="20"/>
                <w:vertAlign w:val="superscript"/>
                <w:lang w:val="en-US"/>
              </w:rPr>
              <w:t xml:space="preserve"> st </w:t>
            </w:r>
            <w:r>
              <w:rPr>
                <w:rFonts w:ascii="Arial" w:hAnsi="Arial" w:cs="Arial"/>
                <w:color w:val="000000"/>
                <w:sz w:val="20"/>
                <w:szCs w:val="20"/>
                <w:lang w:val="en-US"/>
              </w:rPr>
              <w:t>borrhål (parallellt)</w:t>
            </w:r>
          </w:p>
        </w:tc>
      </w:tr>
      <w:tr w:rsidR="00706BE2" w:rsidRPr="00723FB9" w:rsidTr="00087DD9">
        <w:trPr>
          <w:trHeight w:val="258"/>
        </w:trPr>
        <w:tc>
          <w:tcPr>
            <w:tcW w:w="1272" w:type="dxa"/>
            <w:vAlign w:val="center"/>
          </w:tcPr>
          <w:p w:rsidR="00706BE2" w:rsidRPr="00164608" w:rsidRDefault="00706BE2" w:rsidP="00706BE2">
            <w:pPr>
              <w:rPr>
                <w:rFonts w:ascii="Arial" w:hAnsi="Arial" w:cs="Arial"/>
                <w:color w:val="000000"/>
                <w:sz w:val="20"/>
                <w:szCs w:val="20"/>
              </w:rPr>
            </w:pPr>
            <w:r>
              <w:rPr>
                <w:rFonts w:ascii="Arial" w:hAnsi="Arial" w:cs="Arial"/>
                <w:color w:val="000000"/>
                <w:sz w:val="20"/>
                <w:szCs w:val="20"/>
              </w:rPr>
              <w:t>Slangtyp</w:t>
            </w:r>
          </w:p>
        </w:tc>
        <w:tc>
          <w:tcPr>
            <w:tcW w:w="2418" w:type="dxa"/>
            <w:gridSpan w:val="3"/>
          </w:tcPr>
          <w:p w:rsidR="00706BE2" w:rsidRDefault="00706BE2" w:rsidP="00706BE2">
            <w:pPr>
              <w:jc w:val="center"/>
              <w:rPr>
                <w:rFonts w:ascii="Arial" w:hAnsi="Arial" w:cs="Arial"/>
                <w:color w:val="000000"/>
                <w:sz w:val="20"/>
                <w:szCs w:val="20"/>
              </w:rPr>
            </w:pPr>
            <w:r w:rsidRPr="008A2D65">
              <w:rPr>
                <w:rFonts w:ascii="Arial" w:hAnsi="Arial" w:cs="Arial"/>
                <w:color w:val="000000"/>
                <w:sz w:val="20"/>
                <w:szCs w:val="20"/>
              </w:rPr>
              <w:t>PEM 40</w:t>
            </w:r>
            <w:r>
              <w:rPr>
                <w:rFonts w:ascii="Arial" w:hAnsi="Arial" w:cs="Arial"/>
                <w:color w:val="000000"/>
                <w:sz w:val="20"/>
                <w:szCs w:val="20"/>
                <w:lang w:val="en-US"/>
              </w:rPr>
              <w:t>x2,4mm</w:t>
            </w:r>
          </w:p>
        </w:tc>
        <w:tc>
          <w:tcPr>
            <w:tcW w:w="2684" w:type="dxa"/>
            <w:gridSpan w:val="3"/>
          </w:tcPr>
          <w:p w:rsidR="00706BE2" w:rsidRPr="00723FB9" w:rsidRDefault="00706BE2" w:rsidP="00706BE2">
            <w:pPr>
              <w:jc w:val="center"/>
              <w:rPr>
                <w:rFonts w:ascii="Arial" w:hAnsi="Arial" w:cs="Arial"/>
                <w:color w:val="000000"/>
                <w:sz w:val="20"/>
                <w:szCs w:val="20"/>
                <w:lang w:val="en-US"/>
              </w:rPr>
            </w:pPr>
            <w:r>
              <w:rPr>
                <w:rFonts w:ascii="Arial" w:hAnsi="Arial" w:cs="Arial"/>
                <w:color w:val="000000"/>
                <w:sz w:val="20"/>
                <w:szCs w:val="20"/>
                <w:lang w:val="en-US"/>
              </w:rPr>
              <w:t>TurboCollector 45mm</w:t>
            </w:r>
            <w:r w:rsidR="00723FB9">
              <w:rPr>
                <w:rFonts w:ascii="Arial" w:hAnsi="Arial" w:cs="Arial"/>
                <w:color w:val="000000"/>
                <w:sz w:val="20"/>
                <w:szCs w:val="20"/>
                <w:lang w:val="en-US"/>
              </w:rPr>
              <w:t xml:space="preserve"> </w:t>
            </w:r>
            <w:r w:rsidR="00087DD9">
              <w:rPr>
                <w:rFonts w:ascii="Arial" w:hAnsi="Arial" w:cs="Arial"/>
                <w:color w:val="000000"/>
                <w:sz w:val="20"/>
                <w:szCs w:val="20"/>
                <w:lang w:val="en-US"/>
              </w:rPr>
              <w:t>/</w:t>
            </w:r>
            <w:r w:rsidR="00723FB9">
              <w:rPr>
                <w:rFonts w:ascii="Arial" w:hAnsi="Arial" w:cs="Arial"/>
                <w:color w:val="000000"/>
                <w:sz w:val="20"/>
                <w:szCs w:val="20"/>
                <w:lang w:val="en-US"/>
              </w:rPr>
              <w:br/>
            </w:r>
            <w:r>
              <w:rPr>
                <w:rFonts w:ascii="Arial" w:hAnsi="Arial" w:cs="Arial"/>
                <w:color w:val="000000"/>
                <w:sz w:val="20"/>
                <w:szCs w:val="20"/>
                <w:lang w:val="en-US"/>
              </w:rPr>
              <w:t>PEM 50</w:t>
            </w:r>
          </w:p>
        </w:tc>
        <w:tc>
          <w:tcPr>
            <w:tcW w:w="2693" w:type="dxa"/>
            <w:gridSpan w:val="3"/>
          </w:tcPr>
          <w:p w:rsidR="00706BE2" w:rsidRPr="00723FB9" w:rsidRDefault="00706BE2" w:rsidP="00706BE2">
            <w:pPr>
              <w:jc w:val="center"/>
              <w:rPr>
                <w:rFonts w:ascii="Arial" w:hAnsi="Arial" w:cs="Arial"/>
                <w:color w:val="000000"/>
                <w:sz w:val="20"/>
                <w:szCs w:val="20"/>
                <w:lang w:val="en-US"/>
              </w:rPr>
            </w:pPr>
            <w:r>
              <w:rPr>
                <w:rFonts w:ascii="Arial" w:hAnsi="Arial" w:cs="Arial"/>
                <w:color w:val="000000"/>
                <w:sz w:val="20"/>
                <w:szCs w:val="20"/>
                <w:lang w:val="en-US"/>
              </w:rPr>
              <w:t>PEM 40x2,4mm</w:t>
            </w:r>
          </w:p>
        </w:tc>
      </w:tr>
      <w:tr w:rsidR="00706BE2" w:rsidRPr="00723FB9" w:rsidTr="00087DD9">
        <w:trPr>
          <w:trHeight w:val="264"/>
        </w:trPr>
        <w:tc>
          <w:tcPr>
            <w:tcW w:w="1272" w:type="dxa"/>
            <w:vAlign w:val="center"/>
            <w:hideMark/>
          </w:tcPr>
          <w:p w:rsidR="00706BE2" w:rsidRPr="00723FB9" w:rsidRDefault="00706BE2" w:rsidP="00706BE2">
            <w:pPr>
              <w:rPr>
                <w:rFonts w:ascii="Arial" w:hAnsi="Arial" w:cs="Arial"/>
                <w:color w:val="000000"/>
                <w:sz w:val="20"/>
                <w:szCs w:val="20"/>
                <w:lang w:val="en-US"/>
              </w:rPr>
            </w:pPr>
            <w:r w:rsidRPr="00723FB9">
              <w:rPr>
                <w:rFonts w:ascii="Arial" w:hAnsi="Arial" w:cs="Arial"/>
                <w:color w:val="000000"/>
                <w:sz w:val="20"/>
                <w:szCs w:val="20"/>
                <w:lang w:val="en-US"/>
              </w:rPr>
              <w:t>Systemtemp</w:t>
            </w:r>
          </w:p>
        </w:tc>
        <w:tc>
          <w:tcPr>
            <w:tcW w:w="708" w:type="dxa"/>
            <w:tcMar>
              <w:top w:w="0" w:type="dxa"/>
              <w:left w:w="108" w:type="dxa"/>
              <w:bottom w:w="0" w:type="dxa"/>
              <w:right w:w="108" w:type="dxa"/>
            </w:tcMar>
            <w:vAlign w:val="bottom"/>
            <w:hideMark/>
          </w:tcPr>
          <w:p w:rsidR="00706BE2" w:rsidRPr="00723FB9" w:rsidRDefault="00706BE2" w:rsidP="00706BE2">
            <w:pPr>
              <w:jc w:val="center"/>
              <w:rPr>
                <w:rFonts w:ascii="Arial" w:hAnsi="Arial" w:cs="Arial"/>
                <w:b/>
                <w:color w:val="000000"/>
                <w:szCs w:val="20"/>
                <w:lang w:val="en-US"/>
              </w:rPr>
            </w:pPr>
            <w:r w:rsidRPr="00723FB9">
              <w:rPr>
                <w:rFonts w:ascii="Arial" w:hAnsi="Arial" w:cs="Arial"/>
                <w:b/>
                <w:color w:val="000000"/>
                <w:szCs w:val="20"/>
                <w:lang w:val="en-US"/>
              </w:rPr>
              <w:t>35°</w:t>
            </w:r>
          </w:p>
        </w:tc>
        <w:tc>
          <w:tcPr>
            <w:tcW w:w="718" w:type="dxa"/>
          </w:tcPr>
          <w:p w:rsidR="00706BE2" w:rsidRPr="00723FB9" w:rsidRDefault="00706BE2" w:rsidP="00706BE2">
            <w:pPr>
              <w:jc w:val="center"/>
              <w:rPr>
                <w:rFonts w:ascii="Arial" w:hAnsi="Arial" w:cs="Arial"/>
                <w:b/>
                <w:color w:val="000000"/>
                <w:szCs w:val="20"/>
                <w:lang w:val="en-US"/>
              </w:rPr>
            </w:pPr>
            <w:r w:rsidRPr="00723FB9">
              <w:rPr>
                <w:rFonts w:ascii="Arial" w:hAnsi="Arial" w:cs="Arial"/>
                <w:b/>
                <w:color w:val="000000"/>
                <w:szCs w:val="20"/>
                <w:lang w:val="en-US"/>
              </w:rPr>
              <w:t>40-45°</w:t>
            </w:r>
          </w:p>
        </w:tc>
        <w:tc>
          <w:tcPr>
            <w:tcW w:w="992" w:type="dxa"/>
            <w:tcMar>
              <w:top w:w="0" w:type="dxa"/>
              <w:left w:w="108" w:type="dxa"/>
              <w:bottom w:w="0" w:type="dxa"/>
              <w:right w:w="108" w:type="dxa"/>
            </w:tcMar>
            <w:vAlign w:val="bottom"/>
            <w:hideMark/>
          </w:tcPr>
          <w:p w:rsidR="00706BE2" w:rsidRPr="00723FB9" w:rsidRDefault="00706BE2" w:rsidP="00706BE2">
            <w:pPr>
              <w:jc w:val="center"/>
              <w:rPr>
                <w:rFonts w:ascii="Arial" w:hAnsi="Arial" w:cs="Arial"/>
                <w:b/>
                <w:color w:val="000000"/>
                <w:szCs w:val="20"/>
                <w:lang w:val="en-US"/>
              </w:rPr>
            </w:pPr>
            <w:r w:rsidRPr="00723FB9">
              <w:rPr>
                <w:rFonts w:ascii="Arial" w:hAnsi="Arial" w:cs="Arial"/>
                <w:b/>
                <w:color w:val="000000"/>
                <w:szCs w:val="20"/>
                <w:lang w:val="en-US"/>
              </w:rPr>
              <w:t>55-65°</w:t>
            </w:r>
          </w:p>
        </w:tc>
        <w:tc>
          <w:tcPr>
            <w:tcW w:w="850" w:type="dxa"/>
            <w:tcMar>
              <w:top w:w="0" w:type="dxa"/>
              <w:left w:w="108" w:type="dxa"/>
              <w:bottom w:w="0" w:type="dxa"/>
              <w:right w:w="108" w:type="dxa"/>
            </w:tcMar>
            <w:vAlign w:val="bottom"/>
            <w:hideMark/>
          </w:tcPr>
          <w:p w:rsidR="00706BE2" w:rsidRPr="00723FB9" w:rsidRDefault="00706BE2" w:rsidP="00706BE2">
            <w:pPr>
              <w:jc w:val="center"/>
              <w:rPr>
                <w:rFonts w:ascii="Arial" w:hAnsi="Arial" w:cs="Arial"/>
                <w:b/>
                <w:color w:val="000000"/>
                <w:szCs w:val="20"/>
                <w:lang w:val="en-US"/>
              </w:rPr>
            </w:pPr>
            <w:r w:rsidRPr="00723FB9">
              <w:rPr>
                <w:rFonts w:ascii="Arial" w:hAnsi="Arial" w:cs="Arial"/>
                <w:b/>
                <w:color w:val="000000"/>
                <w:szCs w:val="20"/>
                <w:lang w:val="en-US"/>
              </w:rPr>
              <w:t>35°</w:t>
            </w:r>
          </w:p>
        </w:tc>
        <w:tc>
          <w:tcPr>
            <w:tcW w:w="844" w:type="dxa"/>
          </w:tcPr>
          <w:p w:rsidR="00706BE2" w:rsidRPr="00723FB9" w:rsidRDefault="00706BE2" w:rsidP="00706BE2">
            <w:pPr>
              <w:jc w:val="center"/>
              <w:rPr>
                <w:rFonts w:ascii="Arial" w:hAnsi="Arial" w:cs="Arial"/>
                <w:b/>
                <w:color w:val="000000"/>
                <w:szCs w:val="20"/>
                <w:lang w:val="en-US"/>
              </w:rPr>
            </w:pPr>
            <w:r w:rsidRPr="00723FB9">
              <w:rPr>
                <w:rFonts w:ascii="Arial" w:hAnsi="Arial" w:cs="Arial"/>
                <w:b/>
                <w:color w:val="000000"/>
                <w:szCs w:val="20"/>
                <w:lang w:val="en-US"/>
              </w:rPr>
              <w:t>40-45°</w:t>
            </w:r>
          </w:p>
        </w:tc>
        <w:tc>
          <w:tcPr>
            <w:tcW w:w="990" w:type="dxa"/>
            <w:tcMar>
              <w:top w:w="0" w:type="dxa"/>
              <w:left w:w="108" w:type="dxa"/>
              <w:bottom w:w="0" w:type="dxa"/>
              <w:right w:w="108" w:type="dxa"/>
            </w:tcMar>
            <w:vAlign w:val="bottom"/>
            <w:hideMark/>
          </w:tcPr>
          <w:p w:rsidR="00706BE2" w:rsidRPr="00723FB9" w:rsidRDefault="00087DD9" w:rsidP="00706BE2">
            <w:pPr>
              <w:jc w:val="center"/>
              <w:rPr>
                <w:rFonts w:ascii="Arial" w:hAnsi="Arial" w:cs="Arial"/>
                <w:b/>
                <w:color w:val="000000"/>
                <w:szCs w:val="20"/>
                <w:lang w:val="en-US"/>
              </w:rPr>
            </w:pPr>
            <w:r w:rsidRPr="00723FB9">
              <w:rPr>
                <w:rFonts w:ascii="Arial" w:hAnsi="Arial" w:cs="Arial"/>
                <w:b/>
                <w:color w:val="000000"/>
                <w:szCs w:val="20"/>
                <w:lang w:val="en-US"/>
              </w:rPr>
              <w:t>55-65°</w:t>
            </w:r>
          </w:p>
        </w:tc>
        <w:tc>
          <w:tcPr>
            <w:tcW w:w="851" w:type="dxa"/>
            <w:tcMar>
              <w:top w:w="0" w:type="dxa"/>
              <w:left w:w="108" w:type="dxa"/>
              <w:bottom w:w="0" w:type="dxa"/>
              <w:right w:w="108" w:type="dxa"/>
            </w:tcMar>
            <w:vAlign w:val="bottom"/>
            <w:hideMark/>
          </w:tcPr>
          <w:p w:rsidR="00706BE2" w:rsidRPr="00723FB9" w:rsidRDefault="00706BE2" w:rsidP="00706BE2">
            <w:pPr>
              <w:jc w:val="center"/>
              <w:rPr>
                <w:rFonts w:ascii="Arial" w:hAnsi="Arial" w:cs="Arial"/>
                <w:b/>
                <w:color w:val="000000"/>
                <w:szCs w:val="20"/>
                <w:lang w:val="en-US"/>
              </w:rPr>
            </w:pPr>
            <w:r w:rsidRPr="00723FB9">
              <w:rPr>
                <w:rFonts w:ascii="Arial" w:hAnsi="Arial" w:cs="Arial"/>
                <w:b/>
                <w:color w:val="000000"/>
                <w:szCs w:val="20"/>
                <w:lang w:val="en-US"/>
              </w:rPr>
              <w:t>35°C</w:t>
            </w:r>
          </w:p>
        </w:tc>
        <w:tc>
          <w:tcPr>
            <w:tcW w:w="850" w:type="dxa"/>
          </w:tcPr>
          <w:p w:rsidR="00706BE2" w:rsidRPr="00723FB9" w:rsidRDefault="00706BE2" w:rsidP="00706BE2">
            <w:pPr>
              <w:jc w:val="center"/>
              <w:rPr>
                <w:rFonts w:ascii="Arial" w:hAnsi="Arial" w:cs="Arial"/>
                <w:b/>
                <w:color w:val="000000"/>
                <w:szCs w:val="20"/>
                <w:lang w:val="en-US"/>
              </w:rPr>
            </w:pPr>
            <w:r w:rsidRPr="00723FB9">
              <w:rPr>
                <w:rFonts w:ascii="Arial" w:hAnsi="Arial" w:cs="Arial"/>
                <w:b/>
                <w:color w:val="000000"/>
                <w:szCs w:val="20"/>
                <w:lang w:val="en-US"/>
              </w:rPr>
              <w:t>40-45°</w:t>
            </w:r>
          </w:p>
        </w:tc>
        <w:tc>
          <w:tcPr>
            <w:tcW w:w="992" w:type="dxa"/>
            <w:tcMar>
              <w:top w:w="0" w:type="dxa"/>
              <w:left w:w="108" w:type="dxa"/>
              <w:bottom w:w="0" w:type="dxa"/>
              <w:right w:w="108" w:type="dxa"/>
            </w:tcMar>
            <w:vAlign w:val="bottom"/>
            <w:hideMark/>
          </w:tcPr>
          <w:p w:rsidR="00706BE2" w:rsidRPr="00723FB9" w:rsidRDefault="00087DD9" w:rsidP="00706BE2">
            <w:pPr>
              <w:jc w:val="center"/>
              <w:rPr>
                <w:rFonts w:ascii="Arial" w:hAnsi="Arial" w:cs="Arial"/>
                <w:b/>
                <w:color w:val="000000"/>
                <w:szCs w:val="20"/>
                <w:lang w:val="en-US"/>
              </w:rPr>
            </w:pPr>
            <w:r w:rsidRPr="00723FB9">
              <w:rPr>
                <w:rFonts w:ascii="Arial" w:hAnsi="Arial" w:cs="Arial"/>
                <w:b/>
                <w:color w:val="000000"/>
                <w:szCs w:val="20"/>
                <w:lang w:val="en-US"/>
              </w:rPr>
              <w:t>55-65°</w:t>
            </w:r>
          </w:p>
        </w:tc>
      </w:tr>
      <w:tr w:rsidR="00706BE2" w:rsidTr="00087DD9">
        <w:trPr>
          <w:trHeight w:val="255"/>
        </w:trPr>
        <w:tc>
          <w:tcPr>
            <w:tcW w:w="1272" w:type="dxa"/>
            <w:noWrap/>
            <w:tcMar>
              <w:top w:w="0" w:type="dxa"/>
              <w:left w:w="108" w:type="dxa"/>
              <w:bottom w:w="0" w:type="dxa"/>
              <w:right w:w="108" w:type="dxa"/>
            </w:tcMar>
            <w:vAlign w:val="bottom"/>
            <w:hideMark/>
          </w:tcPr>
          <w:p w:rsidR="00706BE2" w:rsidRPr="0094033F" w:rsidRDefault="00106907" w:rsidP="00CB13FA">
            <w:pPr>
              <w:jc w:val="center"/>
              <w:rPr>
                <w:rFonts w:ascii="Arial" w:hAnsi="Arial" w:cs="Arial"/>
                <w:b/>
                <w:color w:val="000000"/>
                <w:sz w:val="20"/>
                <w:szCs w:val="20"/>
                <w:lang w:val="en-US"/>
              </w:rPr>
            </w:pPr>
            <w:r>
              <w:rPr>
                <w:rFonts w:ascii="Arial" w:hAnsi="Arial" w:cs="Arial"/>
                <w:b/>
                <w:color w:val="000000"/>
                <w:sz w:val="20"/>
                <w:szCs w:val="20"/>
                <w:lang w:val="en-US"/>
              </w:rPr>
              <w:t>LWM 8</w:t>
            </w:r>
          </w:p>
        </w:tc>
        <w:tc>
          <w:tcPr>
            <w:tcW w:w="708" w:type="dxa"/>
            <w:noWrap/>
            <w:tcMar>
              <w:top w:w="0" w:type="dxa"/>
              <w:left w:w="108" w:type="dxa"/>
              <w:bottom w:w="0" w:type="dxa"/>
              <w:right w:w="108" w:type="dxa"/>
            </w:tcMar>
            <w:vAlign w:val="center"/>
            <w:hideMark/>
          </w:tcPr>
          <w:p w:rsidR="00706BE2" w:rsidRPr="00FC03D7" w:rsidRDefault="00706BE2" w:rsidP="00706BE2">
            <w:pPr>
              <w:jc w:val="center"/>
              <w:rPr>
                <w:rFonts w:ascii="Arial" w:hAnsi="Arial" w:cs="Arial"/>
                <w:i/>
                <w:color w:val="000000"/>
                <w:szCs w:val="20"/>
                <w:lang w:val="en-US"/>
              </w:rPr>
            </w:pPr>
            <w:r w:rsidRPr="00FC03D7">
              <w:rPr>
                <w:rFonts w:ascii="Arial" w:hAnsi="Arial" w:cs="Arial"/>
                <w:i/>
                <w:color w:val="000000"/>
                <w:szCs w:val="20"/>
                <w:lang w:val="en-US"/>
              </w:rPr>
              <w:t>240</w:t>
            </w:r>
          </w:p>
        </w:tc>
        <w:tc>
          <w:tcPr>
            <w:tcW w:w="718" w:type="dxa"/>
          </w:tcPr>
          <w:p w:rsidR="00706BE2" w:rsidRPr="00FC03D7" w:rsidRDefault="00706BE2" w:rsidP="00706BE2">
            <w:pPr>
              <w:jc w:val="center"/>
              <w:rPr>
                <w:rFonts w:ascii="Arial" w:hAnsi="Arial" w:cs="Arial"/>
                <w:i/>
                <w:color w:val="000000"/>
                <w:szCs w:val="20"/>
                <w:lang w:val="en-US"/>
              </w:rPr>
            </w:pPr>
            <w:r>
              <w:rPr>
                <w:rFonts w:ascii="Arial" w:hAnsi="Arial" w:cs="Arial"/>
                <w:i/>
                <w:color w:val="000000"/>
                <w:szCs w:val="20"/>
                <w:lang w:val="en-US"/>
              </w:rPr>
              <w:t>330</w:t>
            </w:r>
          </w:p>
        </w:tc>
        <w:tc>
          <w:tcPr>
            <w:tcW w:w="992" w:type="dxa"/>
            <w:noWrap/>
            <w:tcMar>
              <w:top w:w="0" w:type="dxa"/>
              <w:left w:w="108" w:type="dxa"/>
              <w:bottom w:w="0" w:type="dxa"/>
              <w:right w:w="108" w:type="dxa"/>
            </w:tcMar>
            <w:vAlign w:val="center"/>
            <w:hideMark/>
          </w:tcPr>
          <w:p w:rsidR="00706BE2" w:rsidRPr="00FC03D7" w:rsidRDefault="00706BE2" w:rsidP="00706BE2">
            <w:pPr>
              <w:jc w:val="center"/>
              <w:rPr>
                <w:rFonts w:ascii="Arial" w:hAnsi="Arial" w:cs="Arial"/>
                <w:i/>
                <w:color w:val="000000"/>
                <w:szCs w:val="20"/>
                <w:lang w:val="en-US"/>
              </w:rPr>
            </w:pPr>
            <w:r w:rsidRPr="00FC03D7">
              <w:rPr>
                <w:rFonts w:ascii="Arial" w:hAnsi="Arial" w:cs="Arial"/>
                <w:i/>
                <w:color w:val="000000"/>
                <w:szCs w:val="20"/>
                <w:lang w:val="en-US"/>
              </w:rPr>
              <w:t>&gt;400</w:t>
            </w:r>
          </w:p>
        </w:tc>
        <w:tc>
          <w:tcPr>
            <w:tcW w:w="850" w:type="dxa"/>
            <w:noWrap/>
            <w:tcMar>
              <w:top w:w="0" w:type="dxa"/>
              <w:left w:w="108" w:type="dxa"/>
              <w:bottom w:w="0" w:type="dxa"/>
              <w:right w:w="108" w:type="dxa"/>
            </w:tcMar>
            <w:vAlign w:val="center"/>
            <w:hideMark/>
          </w:tcPr>
          <w:p w:rsidR="00706BE2" w:rsidRPr="00FC03D7" w:rsidRDefault="00706BE2" w:rsidP="00706BE2">
            <w:pPr>
              <w:jc w:val="center"/>
              <w:rPr>
                <w:rFonts w:ascii="Arial" w:hAnsi="Arial" w:cs="Arial"/>
                <w:i/>
                <w:color w:val="000000"/>
                <w:szCs w:val="20"/>
                <w:lang w:val="en-US"/>
              </w:rPr>
            </w:pPr>
            <w:r w:rsidRPr="00FC03D7">
              <w:rPr>
                <w:rFonts w:ascii="Arial" w:hAnsi="Arial" w:cs="Arial"/>
                <w:i/>
                <w:color w:val="000000"/>
                <w:szCs w:val="20"/>
                <w:lang w:val="en-US"/>
              </w:rPr>
              <w:t> &gt;400</w:t>
            </w:r>
          </w:p>
        </w:tc>
        <w:tc>
          <w:tcPr>
            <w:tcW w:w="844" w:type="dxa"/>
          </w:tcPr>
          <w:p w:rsidR="00706BE2" w:rsidRPr="00FC03D7" w:rsidRDefault="00706BE2" w:rsidP="00706BE2">
            <w:pPr>
              <w:jc w:val="center"/>
              <w:rPr>
                <w:rFonts w:ascii="Arial" w:hAnsi="Arial" w:cs="Arial"/>
                <w:i/>
                <w:color w:val="000000"/>
                <w:szCs w:val="20"/>
                <w:lang w:val="en-US"/>
              </w:rPr>
            </w:pPr>
            <w:r>
              <w:rPr>
                <w:rFonts w:ascii="Arial" w:hAnsi="Arial" w:cs="Arial"/>
                <w:i/>
                <w:color w:val="000000"/>
                <w:szCs w:val="20"/>
                <w:lang w:val="en-US"/>
              </w:rPr>
              <w:t>&gt;400</w:t>
            </w:r>
          </w:p>
        </w:tc>
        <w:tc>
          <w:tcPr>
            <w:tcW w:w="990" w:type="dxa"/>
            <w:noWrap/>
            <w:tcMar>
              <w:top w:w="0" w:type="dxa"/>
              <w:left w:w="108" w:type="dxa"/>
              <w:bottom w:w="0" w:type="dxa"/>
              <w:right w:w="108" w:type="dxa"/>
            </w:tcMar>
            <w:vAlign w:val="center"/>
            <w:hideMark/>
          </w:tcPr>
          <w:p w:rsidR="00706BE2" w:rsidRPr="00FC03D7" w:rsidRDefault="00706BE2" w:rsidP="00706BE2">
            <w:pPr>
              <w:jc w:val="center"/>
              <w:rPr>
                <w:rFonts w:ascii="Arial" w:hAnsi="Arial" w:cs="Arial"/>
                <w:i/>
                <w:color w:val="000000"/>
                <w:szCs w:val="20"/>
                <w:lang w:val="en-US"/>
              </w:rPr>
            </w:pPr>
            <w:r w:rsidRPr="00FC03D7">
              <w:rPr>
                <w:rFonts w:ascii="Arial" w:hAnsi="Arial" w:cs="Arial"/>
                <w:i/>
                <w:color w:val="000000"/>
                <w:szCs w:val="20"/>
                <w:lang w:val="en-US"/>
              </w:rPr>
              <w:t>&gt;400 </w:t>
            </w:r>
          </w:p>
        </w:tc>
        <w:tc>
          <w:tcPr>
            <w:tcW w:w="851" w:type="dxa"/>
            <w:noWrap/>
            <w:tcMar>
              <w:top w:w="0" w:type="dxa"/>
              <w:left w:w="108" w:type="dxa"/>
              <w:bottom w:w="0" w:type="dxa"/>
              <w:right w:w="108" w:type="dxa"/>
            </w:tcMar>
            <w:vAlign w:val="center"/>
            <w:hideMark/>
          </w:tcPr>
          <w:p w:rsidR="00706BE2" w:rsidRPr="00FC03D7" w:rsidRDefault="00706BE2" w:rsidP="00706BE2">
            <w:pPr>
              <w:jc w:val="center"/>
              <w:rPr>
                <w:rFonts w:ascii="Arial" w:hAnsi="Arial" w:cs="Arial"/>
                <w:i/>
                <w:color w:val="000000"/>
                <w:szCs w:val="20"/>
                <w:lang w:val="en-US"/>
              </w:rPr>
            </w:pPr>
            <w:r w:rsidRPr="00FC03D7">
              <w:rPr>
                <w:rFonts w:ascii="Arial" w:hAnsi="Arial" w:cs="Arial"/>
                <w:i/>
                <w:color w:val="000000"/>
                <w:szCs w:val="20"/>
                <w:lang w:val="en-US"/>
              </w:rPr>
              <w:t>&gt;400 </w:t>
            </w:r>
          </w:p>
        </w:tc>
        <w:tc>
          <w:tcPr>
            <w:tcW w:w="850" w:type="dxa"/>
          </w:tcPr>
          <w:p w:rsidR="00706BE2" w:rsidRPr="00FC03D7" w:rsidRDefault="00706BE2" w:rsidP="00706BE2">
            <w:pPr>
              <w:jc w:val="center"/>
              <w:rPr>
                <w:rFonts w:ascii="Arial" w:hAnsi="Arial" w:cs="Arial"/>
                <w:i/>
                <w:color w:val="000000"/>
                <w:szCs w:val="20"/>
                <w:lang w:val="en-US"/>
              </w:rPr>
            </w:pPr>
            <w:r>
              <w:rPr>
                <w:rFonts w:ascii="Arial" w:hAnsi="Arial" w:cs="Arial"/>
                <w:i/>
                <w:color w:val="000000"/>
                <w:szCs w:val="20"/>
                <w:lang w:val="en-US"/>
              </w:rPr>
              <w:t>&gt;400</w:t>
            </w:r>
          </w:p>
        </w:tc>
        <w:tc>
          <w:tcPr>
            <w:tcW w:w="992" w:type="dxa"/>
            <w:noWrap/>
            <w:tcMar>
              <w:top w:w="0" w:type="dxa"/>
              <w:left w:w="108" w:type="dxa"/>
              <w:bottom w:w="0" w:type="dxa"/>
              <w:right w:w="108" w:type="dxa"/>
            </w:tcMar>
            <w:vAlign w:val="center"/>
            <w:hideMark/>
          </w:tcPr>
          <w:p w:rsidR="00706BE2" w:rsidRPr="00FC03D7" w:rsidRDefault="00706BE2" w:rsidP="00706BE2">
            <w:pPr>
              <w:jc w:val="center"/>
              <w:rPr>
                <w:rFonts w:ascii="Arial" w:hAnsi="Arial" w:cs="Arial"/>
                <w:i/>
                <w:color w:val="000000"/>
                <w:szCs w:val="20"/>
                <w:lang w:val="en-US"/>
              </w:rPr>
            </w:pPr>
            <w:r w:rsidRPr="00FC03D7">
              <w:rPr>
                <w:rFonts w:ascii="Arial" w:hAnsi="Arial" w:cs="Arial"/>
                <w:i/>
                <w:color w:val="000000"/>
                <w:szCs w:val="20"/>
                <w:lang w:val="en-US"/>
              </w:rPr>
              <w:t>&gt;400 </w:t>
            </w:r>
          </w:p>
        </w:tc>
      </w:tr>
      <w:tr w:rsidR="00706BE2" w:rsidTr="00087DD9">
        <w:trPr>
          <w:trHeight w:val="255"/>
        </w:trPr>
        <w:tc>
          <w:tcPr>
            <w:tcW w:w="1272" w:type="dxa"/>
            <w:noWrap/>
            <w:tcMar>
              <w:top w:w="0" w:type="dxa"/>
              <w:left w:w="108" w:type="dxa"/>
              <w:bottom w:w="0" w:type="dxa"/>
              <w:right w:w="108" w:type="dxa"/>
            </w:tcMar>
            <w:vAlign w:val="bottom"/>
            <w:hideMark/>
          </w:tcPr>
          <w:p w:rsidR="00706BE2" w:rsidRPr="0094033F" w:rsidRDefault="00106907" w:rsidP="00706BE2">
            <w:pPr>
              <w:jc w:val="center"/>
              <w:rPr>
                <w:rFonts w:ascii="Arial" w:hAnsi="Arial" w:cs="Arial"/>
                <w:b/>
                <w:color w:val="000000"/>
                <w:sz w:val="20"/>
                <w:szCs w:val="20"/>
                <w:lang w:val="en-US"/>
              </w:rPr>
            </w:pPr>
            <w:r>
              <w:rPr>
                <w:rFonts w:ascii="Arial" w:hAnsi="Arial" w:cs="Arial"/>
                <w:b/>
                <w:color w:val="000000"/>
                <w:sz w:val="20"/>
                <w:szCs w:val="20"/>
                <w:lang w:val="en-US"/>
              </w:rPr>
              <w:t>LWM 12</w:t>
            </w:r>
          </w:p>
        </w:tc>
        <w:tc>
          <w:tcPr>
            <w:tcW w:w="708" w:type="dxa"/>
            <w:noWrap/>
            <w:tcMar>
              <w:top w:w="0" w:type="dxa"/>
              <w:left w:w="108" w:type="dxa"/>
              <w:bottom w:w="0" w:type="dxa"/>
              <w:right w:w="108" w:type="dxa"/>
            </w:tcMar>
            <w:vAlign w:val="center"/>
            <w:hideMark/>
          </w:tcPr>
          <w:p w:rsidR="00706BE2" w:rsidRPr="00FC03D7" w:rsidRDefault="00706BE2" w:rsidP="00706BE2">
            <w:pPr>
              <w:jc w:val="center"/>
              <w:rPr>
                <w:rFonts w:ascii="Arial" w:hAnsi="Arial" w:cs="Arial"/>
                <w:i/>
                <w:color w:val="000000"/>
                <w:szCs w:val="20"/>
                <w:lang w:val="en-US"/>
              </w:rPr>
            </w:pPr>
            <w:r w:rsidRPr="00FC03D7">
              <w:rPr>
                <w:rFonts w:ascii="Arial" w:hAnsi="Arial" w:cs="Arial"/>
                <w:i/>
                <w:color w:val="000000"/>
                <w:szCs w:val="20"/>
                <w:lang w:val="en-US"/>
              </w:rPr>
              <w:t>190</w:t>
            </w:r>
          </w:p>
        </w:tc>
        <w:tc>
          <w:tcPr>
            <w:tcW w:w="718" w:type="dxa"/>
          </w:tcPr>
          <w:p w:rsidR="00706BE2" w:rsidRPr="00FC03D7" w:rsidRDefault="00706BE2" w:rsidP="00706BE2">
            <w:pPr>
              <w:jc w:val="center"/>
              <w:rPr>
                <w:rFonts w:ascii="Arial" w:hAnsi="Arial" w:cs="Arial"/>
                <w:i/>
                <w:color w:val="000000"/>
                <w:szCs w:val="20"/>
                <w:lang w:val="en-US"/>
              </w:rPr>
            </w:pPr>
            <w:r>
              <w:rPr>
                <w:rFonts w:ascii="Arial" w:hAnsi="Arial" w:cs="Arial"/>
                <w:i/>
                <w:color w:val="000000"/>
                <w:szCs w:val="20"/>
                <w:lang w:val="en-US"/>
              </w:rPr>
              <w:t>280</w:t>
            </w:r>
          </w:p>
        </w:tc>
        <w:tc>
          <w:tcPr>
            <w:tcW w:w="992" w:type="dxa"/>
            <w:noWrap/>
            <w:tcMar>
              <w:top w:w="0" w:type="dxa"/>
              <w:left w:w="108" w:type="dxa"/>
              <w:bottom w:w="0" w:type="dxa"/>
              <w:right w:w="108" w:type="dxa"/>
            </w:tcMar>
            <w:vAlign w:val="center"/>
            <w:hideMark/>
          </w:tcPr>
          <w:p w:rsidR="00706BE2" w:rsidRPr="00FC03D7" w:rsidRDefault="00706BE2" w:rsidP="00706BE2">
            <w:pPr>
              <w:jc w:val="center"/>
              <w:rPr>
                <w:rFonts w:ascii="Arial" w:hAnsi="Arial" w:cs="Arial"/>
                <w:i/>
                <w:color w:val="000000"/>
                <w:szCs w:val="20"/>
                <w:lang w:val="en-US"/>
              </w:rPr>
            </w:pPr>
            <w:r w:rsidRPr="00FC03D7">
              <w:rPr>
                <w:rFonts w:ascii="Arial" w:hAnsi="Arial" w:cs="Arial"/>
                <w:i/>
                <w:color w:val="000000"/>
                <w:szCs w:val="20"/>
                <w:lang w:val="en-US"/>
              </w:rPr>
              <w:t>350</w:t>
            </w:r>
          </w:p>
        </w:tc>
        <w:tc>
          <w:tcPr>
            <w:tcW w:w="850" w:type="dxa"/>
            <w:noWrap/>
            <w:tcMar>
              <w:top w:w="0" w:type="dxa"/>
              <w:left w:w="108" w:type="dxa"/>
              <w:bottom w:w="0" w:type="dxa"/>
              <w:right w:w="108" w:type="dxa"/>
            </w:tcMar>
            <w:vAlign w:val="center"/>
            <w:hideMark/>
          </w:tcPr>
          <w:p w:rsidR="00706BE2" w:rsidRPr="00FC03D7" w:rsidRDefault="00706BE2" w:rsidP="00706BE2">
            <w:pPr>
              <w:jc w:val="center"/>
              <w:rPr>
                <w:rFonts w:ascii="Arial" w:hAnsi="Arial" w:cs="Arial"/>
                <w:i/>
                <w:color w:val="000000"/>
                <w:szCs w:val="20"/>
                <w:lang w:val="en-US"/>
              </w:rPr>
            </w:pPr>
            <w:r w:rsidRPr="00FC03D7">
              <w:rPr>
                <w:rFonts w:ascii="Arial" w:hAnsi="Arial" w:cs="Arial"/>
                <w:i/>
                <w:color w:val="000000"/>
                <w:szCs w:val="20"/>
                <w:lang w:val="en-US"/>
              </w:rPr>
              <w:t>300</w:t>
            </w:r>
          </w:p>
        </w:tc>
        <w:tc>
          <w:tcPr>
            <w:tcW w:w="844" w:type="dxa"/>
          </w:tcPr>
          <w:p w:rsidR="00706BE2" w:rsidRPr="00FC03D7" w:rsidRDefault="00706BE2" w:rsidP="00706BE2">
            <w:pPr>
              <w:jc w:val="center"/>
              <w:rPr>
                <w:rFonts w:ascii="Arial" w:hAnsi="Arial" w:cs="Arial"/>
                <w:i/>
                <w:color w:val="000000"/>
                <w:szCs w:val="20"/>
                <w:lang w:val="en-US"/>
              </w:rPr>
            </w:pPr>
            <w:r>
              <w:rPr>
                <w:rFonts w:ascii="Arial" w:hAnsi="Arial" w:cs="Arial"/>
                <w:i/>
                <w:color w:val="000000"/>
                <w:szCs w:val="20"/>
                <w:lang w:val="en-US"/>
              </w:rPr>
              <w:t>&gt;400</w:t>
            </w:r>
          </w:p>
        </w:tc>
        <w:tc>
          <w:tcPr>
            <w:tcW w:w="990" w:type="dxa"/>
            <w:noWrap/>
            <w:tcMar>
              <w:top w:w="0" w:type="dxa"/>
              <w:left w:w="108" w:type="dxa"/>
              <w:bottom w:w="0" w:type="dxa"/>
              <w:right w:w="108" w:type="dxa"/>
            </w:tcMar>
            <w:vAlign w:val="center"/>
            <w:hideMark/>
          </w:tcPr>
          <w:p w:rsidR="00706BE2" w:rsidRPr="00FC03D7" w:rsidRDefault="00706BE2" w:rsidP="00706BE2">
            <w:pPr>
              <w:jc w:val="center"/>
              <w:rPr>
                <w:rFonts w:ascii="Arial" w:hAnsi="Arial" w:cs="Arial"/>
                <w:i/>
                <w:color w:val="000000"/>
                <w:szCs w:val="20"/>
                <w:lang w:val="en-US"/>
              </w:rPr>
            </w:pPr>
            <w:r w:rsidRPr="00FC03D7">
              <w:rPr>
                <w:rFonts w:ascii="Arial" w:hAnsi="Arial" w:cs="Arial"/>
                <w:i/>
                <w:color w:val="000000"/>
                <w:szCs w:val="20"/>
                <w:lang w:val="en-US"/>
              </w:rPr>
              <w:t>&gt;400</w:t>
            </w:r>
          </w:p>
        </w:tc>
        <w:tc>
          <w:tcPr>
            <w:tcW w:w="851" w:type="dxa"/>
            <w:noWrap/>
            <w:tcMar>
              <w:top w:w="0" w:type="dxa"/>
              <w:left w:w="108" w:type="dxa"/>
              <w:bottom w:w="0" w:type="dxa"/>
              <w:right w:w="108" w:type="dxa"/>
            </w:tcMar>
            <w:vAlign w:val="center"/>
            <w:hideMark/>
          </w:tcPr>
          <w:p w:rsidR="00706BE2" w:rsidRPr="00FC03D7" w:rsidRDefault="00706BE2" w:rsidP="00706BE2">
            <w:pPr>
              <w:jc w:val="center"/>
              <w:rPr>
                <w:rFonts w:ascii="Arial" w:hAnsi="Arial" w:cs="Arial"/>
                <w:i/>
                <w:color w:val="000000"/>
                <w:szCs w:val="20"/>
                <w:lang w:val="en-US"/>
              </w:rPr>
            </w:pPr>
            <w:r w:rsidRPr="00FC03D7">
              <w:rPr>
                <w:rFonts w:ascii="Arial" w:hAnsi="Arial" w:cs="Arial"/>
                <w:i/>
                <w:color w:val="000000"/>
                <w:szCs w:val="20"/>
                <w:lang w:val="en-US"/>
              </w:rPr>
              <w:t>&gt;400</w:t>
            </w:r>
          </w:p>
        </w:tc>
        <w:tc>
          <w:tcPr>
            <w:tcW w:w="850" w:type="dxa"/>
          </w:tcPr>
          <w:p w:rsidR="00706BE2" w:rsidRPr="00FC03D7" w:rsidRDefault="00706BE2" w:rsidP="00706BE2">
            <w:pPr>
              <w:jc w:val="center"/>
              <w:rPr>
                <w:rFonts w:ascii="Arial" w:hAnsi="Arial" w:cs="Arial"/>
                <w:i/>
                <w:color w:val="000000"/>
                <w:szCs w:val="20"/>
                <w:lang w:val="en-US"/>
              </w:rPr>
            </w:pPr>
            <w:r>
              <w:rPr>
                <w:rFonts w:ascii="Arial" w:hAnsi="Arial" w:cs="Arial"/>
                <w:i/>
                <w:color w:val="000000"/>
                <w:szCs w:val="20"/>
                <w:lang w:val="en-US"/>
              </w:rPr>
              <w:t>&gt;400</w:t>
            </w:r>
          </w:p>
        </w:tc>
        <w:tc>
          <w:tcPr>
            <w:tcW w:w="992" w:type="dxa"/>
            <w:noWrap/>
            <w:tcMar>
              <w:top w:w="0" w:type="dxa"/>
              <w:left w:w="108" w:type="dxa"/>
              <w:bottom w:w="0" w:type="dxa"/>
              <w:right w:w="108" w:type="dxa"/>
            </w:tcMar>
            <w:vAlign w:val="center"/>
            <w:hideMark/>
          </w:tcPr>
          <w:p w:rsidR="00706BE2" w:rsidRPr="00FC03D7" w:rsidRDefault="00706BE2" w:rsidP="00706BE2">
            <w:pPr>
              <w:jc w:val="center"/>
              <w:rPr>
                <w:rFonts w:ascii="Arial" w:hAnsi="Arial" w:cs="Arial"/>
                <w:i/>
                <w:color w:val="000000"/>
                <w:szCs w:val="20"/>
                <w:lang w:val="en-US"/>
              </w:rPr>
            </w:pPr>
            <w:r w:rsidRPr="00FC03D7">
              <w:rPr>
                <w:rFonts w:ascii="Arial" w:hAnsi="Arial" w:cs="Arial"/>
                <w:i/>
                <w:color w:val="000000"/>
                <w:szCs w:val="20"/>
                <w:lang w:val="en-US"/>
              </w:rPr>
              <w:t>&gt;400</w:t>
            </w:r>
          </w:p>
        </w:tc>
      </w:tr>
      <w:tr w:rsidR="00706BE2" w:rsidTr="00087DD9">
        <w:trPr>
          <w:trHeight w:val="255"/>
        </w:trPr>
        <w:tc>
          <w:tcPr>
            <w:tcW w:w="1272" w:type="dxa"/>
            <w:noWrap/>
            <w:tcMar>
              <w:top w:w="0" w:type="dxa"/>
              <w:left w:w="108" w:type="dxa"/>
              <w:bottom w:w="0" w:type="dxa"/>
              <w:right w:w="108" w:type="dxa"/>
            </w:tcMar>
            <w:vAlign w:val="bottom"/>
            <w:hideMark/>
          </w:tcPr>
          <w:p w:rsidR="00706BE2" w:rsidRPr="0094033F" w:rsidRDefault="00106907" w:rsidP="00CB13FA">
            <w:pPr>
              <w:jc w:val="center"/>
              <w:rPr>
                <w:rFonts w:ascii="Arial" w:hAnsi="Arial" w:cs="Arial"/>
                <w:b/>
                <w:color w:val="000000"/>
                <w:sz w:val="20"/>
                <w:szCs w:val="20"/>
                <w:lang w:val="en-US"/>
              </w:rPr>
            </w:pPr>
            <w:r>
              <w:rPr>
                <w:rFonts w:ascii="Arial" w:hAnsi="Arial" w:cs="Arial"/>
                <w:b/>
                <w:color w:val="000000"/>
                <w:sz w:val="20"/>
                <w:szCs w:val="20"/>
                <w:lang w:val="en-US"/>
              </w:rPr>
              <w:t>LWM 16</w:t>
            </w:r>
          </w:p>
        </w:tc>
        <w:tc>
          <w:tcPr>
            <w:tcW w:w="708" w:type="dxa"/>
            <w:noWrap/>
            <w:tcMar>
              <w:top w:w="0" w:type="dxa"/>
              <w:left w:w="108" w:type="dxa"/>
              <w:bottom w:w="0" w:type="dxa"/>
              <w:right w:w="108" w:type="dxa"/>
            </w:tcMar>
            <w:vAlign w:val="center"/>
            <w:hideMark/>
          </w:tcPr>
          <w:p w:rsidR="00706BE2" w:rsidRPr="00FC03D7" w:rsidRDefault="00706BE2" w:rsidP="00706BE2">
            <w:pPr>
              <w:jc w:val="center"/>
              <w:rPr>
                <w:rFonts w:ascii="Arial" w:hAnsi="Arial" w:cs="Arial"/>
                <w:i/>
                <w:color w:val="000000"/>
                <w:szCs w:val="20"/>
                <w:lang w:val="en-US"/>
              </w:rPr>
            </w:pPr>
            <w:r w:rsidRPr="00FC03D7">
              <w:rPr>
                <w:rFonts w:ascii="Arial" w:hAnsi="Arial" w:cs="Arial"/>
                <w:i/>
                <w:color w:val="000000"/>
                <w:szCs w:val="20"/>
                <w:lang w:val="en-US"/>
              </w:rPr>
              <w:t>-</w:t>
            </w:r>
          </w:p>
        </w:tc>
        <w:tc>
          <w:tcPr>
            <w:tcW w:w="718" w:type="dxa"/>
          </w:tcPr>
          <w:p w:rsidR="00706BE2" w:rsidRPr="00FC03D7" w:rsidRDefault="00706BE2" w:rsidP="00706BE2">
            <w:pPr>
              <w:jc w:val="center"/>
              <w:rPr>
                <w:rFonts w:ascii="Arial" w:hAnsi="Arial" w:cs="Arial"/>
                <w:i/>
                <w:color w:val="000000"/>
                <w:szCs w:val="20"/>
                <w:lang w:val="en-US"/>
              </w:rPr>
            </w:pPr>
            <w:r>
              <w:rPr>
                <w:rFonts w:ascii="Arial" w:hAnsi="Arial" w:cs="Arial"/>
                <w:i/>
                <w:color w:val="000000"/>
                <w:szCs w:val="20"/>
                <w:lang w:val="en-US"/>
              </w:rPr>
              <w:t>200</w:t>
            </w:r>
          </w:p>
        </w:tc>
        <w:tc>
          <w:tcPr>
            <w:tcW w:w="992" w:type="dxa"/>
            <w:noWrap/>
            <w:tcMar>
              <w:top w:w="0" w:type="dxa"/>
              <w:left w:w="108" w:type="dxa"/>
              <w:bottom w:w="0" w:type="dxa"/>
              <w:right w:w="108" w:type="dxa"/>
            </w:tcMar>
            <w:vAlign w:val="center"/>
            <w:hideMark/>
          </w:tcPr>
          <w:p w:rsidR="00706BE2" w:rsidRPr="00FC03D7" w:rsidRDefault="00706BE2" w:rsidP="00706BE2">
            <w:pPr>
              <w:jc w:val="center"/>
              <w:rPr>
                <w:rFonts w:ascii="Arial" w:hAnsi="Arial" w:cs="Arial"/>
                <w:i/>
                <w:color w:val="000000"/>
                <w:szCs w:val="20"/>
                <w:lang w:val="en-US"/>
              </w:rPr>
            </w:pPr>
            <w:r w:rsidRPr="00FC03D7">
              <w:rPr>
                <w:rFonts w:ascii="Arial" w:hAnsi="Arial" w:cs="Arial"/>
                <w:i/>
                <w:color w:val="000000"/>
                <w:szCs w:val="20"/>
                <w:lang w:val="en-US"/>
              </w:rPr>
              <w:t>250</w:t>
            </w:r>
          </w:p>
        </w:tc>
        <w:tc>
          <w:tcPr>
            <w:tcW w:w="850" w:type="dxa"/>
            <w:noWrap/>
            <w:tcMar>
              <w:top w:w="0" w:type="dxa"/>
              <w:left w:w="108" w:type="dxa"/>
              <w:bottom w:w="0" w:type="dxa"/>
              <w:right w:w="108" w:type="dxa"/>
            </w:tcMar>
            <w:vAlign w:val="center"/>
            <w:hideMark/>
          </w:tcPr>
          <w:p w:rsidR="00706BE2" w:rsidRPr="00FC03D7" w:rsidRDefault="00706BE2" w:rsidP="00706BE2">
            <w:pPr>
              <w:jc w:val="center"/>
              <w:rPr>
                <w:rFonts w:ascii="Arial" w:hAnsi="Arial" w:cs="Arial"/>
                <w:i/>
                <w:color w:val="000000"/>
                <w:szCs w:val="20"/>
                <w:lang w:val="en-US"/>
              </w:rPr>
            </w:pPr>
            <w:r w:rsidRPr="00FC03D7">
              <w:rPr>
                <w:rFonts w:ascii="Arial" w:hAnsi="Arial" w:cs="Arial"/>
                <w:i/>
                <w:color w:val="000000"/>
                <w:szCs w:val="20"/>
                <w:lang w:val="en-US"/>
              </w:rPr>
              <w:t>225</w:t>
            </w:r>
          </w:p>
        </w:tc>
        <w:tc>
          <w:tcPr>
            <w:tcW w:w="844" w:type="dxa"/>
          </w:tcPr>
          <w:p w:rsidR="00706BE2" w:rsidRPr="00FC03D7" w:rsidRDefault="00706BE2" w:rsidP="00706BE2">
            <w:pPr>
              <w:jc w:val="center"/>
              <w:rPr>
                <w:rFonts w:ascii="Arial" w:hAnsi="Arial" w:cs="Arial"/>
                <w:i/>
                <w:color w:val="000000"/>
                <w:szCs w:val="20"/>
                <w:lang w:val="en-US"/>
              </w:rPr>
            </w:pPr>
            <w:r>
              <w:rPr>
                <w:rFonts w:ascii="Arial" w:hAnsi="Arial" w:cs="Arial"/>
                <w:i/>
                <w:color w:val="000000"/>
                <w:szCs w:val="20"/>
                <w:lang w:val="en-US"/>
              </w:rPr>
              <w:t>350</w:t>
            </w:r>
          </w:p>
        </w:tc>
        <w:tc>
          <w:tcPr>
            <w:tcW w:w="990" w:type="dxa"/>
            <w:noWrap/>
            <w:tcMar>
              <w:top w:w="0" w:type="dxa"/>
              <w:left w:w="108" w:type="dxa"/>
              <w:bottom w:w="0" w:type="dxa"/>
              <w:right w:w="108" w:type="dxa"/>
            </w:tcMar>
            <w:vAlign w:val="center"/>
            <w:hideMark/>
          </w:tcPr>
          <w:p w:rsidR="00706BE2" w:rsidRPr="00FC03D7" w:rsidRDefault="00706BE2" w:rsidP="00706BE2">
            <w:pPr>
              <w:jc w:val="center"/>
              <w:rPr>
                <w:rFonts w:ascii="Arial" w:hAnsi="Arial" w:cs="Arial"/>
                <w:i/>
                <w:color w:val="000000"/>
                <w:szCs w:val="20"/>
                <w:lang w:val="en-US"/>
              </w:rPr>
            </w:pPr>
            <w:r w:rsidRPr="00FC03D7">
              <w:rPr>
                <w:rFonts w:ascii="Arial" w:hAnsi="Arial" w:cs="Arial"/>
                <w:i/>
                <w:color w:val="000000"/>
                <w:szCs w:val="20"/>
                <w:lang w:val="en-US"/>
              </w:rPr>
              <w:t>&gt;400</w:t>
            </w:r>
          </w:p>
        </w:tc>
        <w:tc>
          <w:tcPr>
            <w:tcW w:w="851" w:type="dxa"/>
            <w:noWrap/>
            <w:tcMar>
              <w:top w:w="0" w:type="dxa"/>
              <w:left w:w="108" w:type="dxa"/>
              <w:bottom w:w="0" w:type="dxa"/>
              <w:right w:w="108" w:type="dxa"/>
            </w:tcMar>
            <w:vAlign w:val="center"/>
            <w:hideMark/>
          </w:tcPr>
          <w:p w:rsidR="00706BE2" w:rsidRPr="00FC03D7" w:rsidRDefault="00706BE2" w:rsidP="00706BE2">
            <w:pPr>
              <w:jc w:val="center"/>
              <w:rPr>
                <w:rFonts w:ascii="Arial" w:hAnsi="Arial" w:cs="Arial"/>
                <w:i/>
                <w:color w:val="000000"/>
                <w:szCs w:val="20"/>
                <w:lang w:val="en-US"/>
              </w:rPr>
            </w:pPr>
            <w:r w:rsidRPr="00FC03D7">
              <w:rPr>
                <w:rFonts w:ascii="Arial" w:hAnsi="Arial" w:cs="Arial"/>
                <w:i/>
                <w:color w:val="000000"/>
                <w:szCs w:val="20"/>
                <w:lang w:val="en-US"/>
              </w:rPr>
              <w:t xml:space="preserve">&gt;400 </w:t>
            </w:r>
          </w:p>
        </w:tc>
        <w:tc>
          <w:tcPr>
            <w:tcW w:w="850" w:type="dxa"/>
          </w:tcPr>
          <w:p w:rsidR="00706BE2" w:rsidRPr="00FC03D7" w:rsidRDefault="00706BE2" w:rsidP="00706BE2">
            <w:pPr>
              <w:jc w:val="center"/>
              <w:rPr>
                <w:rFonts w:ascii="Arial" w:hAnsi="Arial" w:cs="Arial"/>
                <w:i/>
                <w:color w:val="000000"/>
                <w:szCs w:val="20"/>
                <w:lang w:val="en-US"/>
              </w:rPr>
            </w:pPr>
            <w:r>
              <w:rPr>
                <w:rFonts w:ascii="Arial" w:hAnsi="Arial" w:cs="Arial"/>
                <w:i/>
                <w:color w:val="000000"/>
                <w:szCs w:val="20"/>
                <w:lang w:val="en-US"/>
              </w:rPr>
              <w:t>&gt;400</w:t>
            </w:r>
          </w:p>
        </w:tc>
        <w:tc>
          <w:tcPr>
            <w:tcW w:w="992" w:type="dxa"/>
            <w:noWrap/>
            <w:tcMar>
              <w:top w:w="0" w:type="dxa"/>
              <w:left w:w="108" w:type="dxa"/>
              <w:bottom w:w="0" w:type="dxa"/>
              <w:right w:w="108" w:type="dxa"/>
            </w:tcMar>
            <w:vAlign w:val="center"/>
            <w:hideMark/>
          </w:tcPr>
          <w:p w:rsidR="00706BE2" w:rsidRPr="00FC03D7" w:rsidRDefault="00706BE2" w:rsidP="00706BE2">
            <w:pPr>
              <w:jc w:val="center"/>
              <w:rPr>
                <w:rFonts w:ascii="Arial" w:hAnsi="Arial" w:cs="Arial"/>
                <w:i/>
                <w:color w:val="000000"/>
                <w:szCs w:val="20"/>
                <w:lang w:val="en-US"/>
              </w:rPr>
            </w:pPr>
            <w:r w:rsidRPr="00FC03D7">
              <w:rPr>
                <w:rFonts w:ascii="Arial" w:hAnsi="Arial" w:cs="Arial"/>
                <w:i/>
                <w:color w:val="000000"/>
                <w:szCs w:val="20"/>
                <w:lang w:val="en-US"/>
              </w:rPr>
              <w:t>&gt;400</w:t>
            </w:r>
          </w:p>
        </w:tc>
      </w:tr>
    </w:tbl>
    <w:p w:rsidR="00403746" w:rsidRDefault="00403746" w:rsidP="00403746"/>
    <w:p w:rsidR="00403746" w:rsidRDefault="00403746" w:rsidP="00403746">
      <w:pPr>
        <w:rPr>
          <w:rFonts w:ascii="Arial" w:hAnsi="Arial" w:cs="Arial"/>
          <w:color w:val="000000"/>
          <w:sz w:val="20"/>
          <w:szCs w:val="20"/>
        </w:rPr>
      </w:pPr>
      <w:r>
        <w:t xml:space="preserve">Lågtempsystem 35°C </w:t>
      </w:r>
      <w:r w:rsidR="001215C5">
        <w:t>-</w:t>
      </w:r>
      <w:r>
        <w:t xml:space="preserve"> avser system helt bestående av </w:t>
      </w:r>
      <w:r>
        <w:rPr>
          <w:rFonts w:ascii="Arial" w:hAnsi="Arial" w:cs="Arial"/>
          <w:color w:val="000000"/>
          <w:sz w:val="20"/>
          <w:szCs w:val="20"/>
        </w:rPr>
        <w:t>golvvärme i betong el. motsvarande. (System med golvvärme i träbjälklag kräver generellt högre systemtemperatur. Se nedan)</w:t>
      </w:r>
      <w:r>
        <w:rPr>
          <w:rFonts w:ascii="Arial" w:hAnsi="Arial" w:cs="Arial"/>
          <w:color w:val="000000"/>
          <w:sz w:val="20"/>
          <w:szCs w:val="20"/>
        </w:rPr>
        <w:br/>
      </w:r>
    </w:p>
    <w:p w:rsidR="00403746" w:rsidRDefault="001215C5" w:rsidP="00403746">
      <w:pPr>
        <w:rPr>
          <w:rFonts w:ascii="Arial" w:hAnsi="Arial" w:cs="Arial"/>
          <w:color w:val="000000"/>
          <w:sz w:val="20"/>
          <w:szCs w:val="20"/>
        </w:rPr>
      </w:pPr>
      <w:r>
        <w:rPr>
          <w:rFonts w:ascii="Arial" w:hAnsi="Arial" w:cs="Arial"/>
          <w:sz w:val="20"/>
          <w:szCs w:val="20"/>
        </w:rPr>
        <w:t>Lågtempsystem 40-45°C -</w:t>
      </w:r>
      <w:r w:rsidR="00403746" w:rsidRPr="00706BE2">
        <w:rPr>
          <w:rFonts w:ascii="Arial" w:hAnsi="Arial" w:cs="Arial"/>
          <w:sz w:val="20"/>
          <w:szCs w:val="20"/>
        </w:rPr>
        <w:t xml:space="preserve"> avser radiatorsystem med mycket väl tilltagen radiatoryta och/eller systemkombinationer med golvvärme/radiator/fläktelement där någon delsystemen kräver 45°C.</w:t>
      </w:r>
      <w:r w:rsidR="00403746" w:rsidRPr="00706BE2">
        <w:rPr>
          <w:rFonts w:ascii="Arial" w:hAnsi="Arial" w:cs="Arial"/>
          <w:sz w:val="20"/>
          <w:szCs w:val="20"/>
        </w:rPr>
        <w:br/>
      </w:r>
      <w:r w:rsidR="00403746">
        <w:rPr>
          <w:rFonts w:ascii="Arial" w:hAnsi="Arial" w:cs="Arial"/>
          <w:color w:val="000000"/>
          <w:sz w:val="20"/>
          <w:szCs w:val="20"/>
        </w:rPr>
        <w:br/>
        <w:t>Normalsystem 55-65°C  - avser radiatorsystem med normalt radiatoryta och/eller systemkombinationer av med radiator/golvvärme/fläktelement där något delsystemen kräver 55-65°C.</w:t>
      </w:r>
    </w:p>
    <w:p w:rsidR="00706BE2" w:rsidRDefault="00706BE2" w:rsidP="00403746">
      <w:pPr>
        <w:rPr>
          <w:rFonts w:ascii="Arial" w:hAnsi="Arial" w:cs="Arial"/>
          <w:color w:val="000000"/>
          <w:sz w:val="20"/>
          <w:szCs w:val="20"/>
        </w:rPr>
      </w:pPr>
    </w:p>
    <w:p w:rsidR="00706BE2" w:rsidRDefault="00CB13FA" w:rsidP="00403746">
      <w:r>
        <w:rPr>
          <w:rFonts w:ascii="Arial" w:hAnsi="Arial" w:cs="Arial"/>
          <w:color w:val="000000"/>
          <w:sz w:val="20"/>
          <w:szCs w:val="20"/>
        </w:rPr>
        <w:t>Y</w:t>
      </w:r>
      <w:r w:rsidR="002A4629">
        <w:rPr>
          <w:rFonts w:ascii="Arial" w:hAnsi="Arial" w:cs="Arial"/>
          <w:color w:val="000000"/>
          <w:sz w:val="20"/>
          <w:szCs w:val="20"/>
        </w:rPr>
        <w:t xml:space="preserve">tjordslingor benämns </w:t>
      </w:r>
      <w:r w:rsidR="00706BE2">
        <w:rPr>
          <w:rFonts w:ascii="Arial" w:hAnsi="Arial" w:cs="Arial"/>
          <w:color w:val="000000"/>
          <w:sz w:val="20"/>
          <w:szCs w:val="20"/>
        </w:rPr>
        <w:t>i sin hela längd</w:t>
      </w:r>
      <w:r w:rsidR="002A4629">
        <w:rPr>
          <w:rFonts w:ascii="Arial" w:hAnsi="Arial" w:cs="Arial"/>
          <w:color w:val="000000"/>
          <w:sz w:val="20"/>
          <w:szCs w:val="20"/>
        </w:rPr>
        <w:t>,</w:t>
      </w:r>
      <w:r w:rsidR="00706BE2">
        <w:rPr>
          <w:rFonts w:ascii="Arial" w:hAnsi="Arial" w:cs="Arial"/>
          <w:color w:val="000000"/>
          <w:sz w:val="20"/>
          <w:szCs w:val="20"/>
        </w:rPr>
        <w:t xml:space="preserve"> </w:t>
      </w:r>
      <w:r>
        <w:rPr>
          <w:rFonts w:ascii="Arial" w:hAnsi="Arial" w:cs="Arial"/>
          <w:color w:val="000000"/>
          <w:sz w:val="20"/>
          <w:szCs w:val="20"/>
        </w:rPr>
        <w:t xml:space="preserve">varför </w:t>
      </w:r>
      <w:r w:rsidR="00706BE2">
        <w:rPr>
          <w:rFonts w:ascii="Arial" w:hAnsi="Arial" w:cs="Arial"/>
          <w:color w:val="000000"/>
          <w:sz w:val="20"/>
          <w:szCs w:val="20"/>
        </w:rPr>
        <w:t>ovan</w:t>
      </w:r>
      <w:r w:rsidR="002A4629">
        <w:rPr>
          <w:rFonts w:ascii="Arial" w:hAnsi="Arial" w:cs="Arial"/>
          <w:color w:val="000000"/>
          <w:sz w:val="20"/>
          <w:szCs w:val="20"/>
        </w:rPr>
        <w:t>stående</w:t>
      </w:r>
      <w:r w:rsidR="00706BE2">
        <w:rPr>
          <w:rFonts w:ascii="Arial" w:hAnsi="Arial" w:cs="Arial"/>
          <w:color w:val="000000"/>
          <w:sz w:val="20"/>
          <w:szCs w:val="20"/>
        </w:rPr>
        <w:t xml:space="preserve"> </w:t>
      </w:r>
      <w:r>
        <w:rPr>
          <w:rFonts w:ascii="Arial" w:hAnsi="Arial" w:cs="Arial"/>
          <w:color w:val="000000"/>
          <w:sz w:val="20"/>
          <w:szCs w:val="20"/>
        </w:rPr>
        <w:t>max-</w:t>
      </w:r>
      <w:r w:rsidR="00706BE2">
        <w:rPr>
          <w:rFonts w:ascii="Arial" w:hAnsi="Arial" w:cs="Arial"/>
          <w:color w:val="000000"/>
          <w:sz w:val="20"/>
          <w:szCs w:val="20"/>
        </w:rPr>
        <w:t xml:space="preserve">längder </w:t>
      </w:r>
      <w:r>
        <w:rPr>
          <w:rFonts w:ascii="Arial" w:hAnsi="Arial" w:cs="Arial"/>
          <w:color w:val="000000"/>
          <w:sz w:val="20"/>
          <w:szCs w:val="20"/>
        </w:rPr>
        <w:t>för borrhål ska multipliceras</w:t>
      </w:r>
      <w:r w:rsidR="00706BE2">
        <w:rPr>
          <w:rFonts w:ascii="Arial" w:hAnsi="Arial" w:cs="Arial"/>
          <w:color w:val="000000"/>
          <w:sz w:val="20"/>
          <w:szCs w:val="20"/>
        </w:rPr>
        <w:t xml:space="preserve"> med två</w:t>
      </w:r>
      <w:r>
        <w:rPr>
          <w:rFonts w:ascii="Arial" w:hAnsi="Arial" w:cs="Arial"/>
          <w:color w:val="000000"/>
          <w:sz w:val="20"/>
          <w:szCs w:val="20"/>
        </w:rPr>
        <w:t>. Maxlängd för ytjordslinga blir därmed den dubbla.</w:t>
      </w:r>
    </w:p>
    <w:p w:rsidR="00164608" w:rsidRDefault="00CB13FA" w:rsidP="00164608">
      <w:pPr>
        <w:spacing w:after="240"/>
      </w:pPr>
      <w:r>
        <w:rPr>
          <w:b/>
          <w:bCs/>
        </w:rPr>
        <w:br/>
      </w:r>
      <w:r w:rsidR="00403746">
        <w:rPr>
          <w:b/>
          <w:bCs/>
        </w:rPr>
        <w:br/>
      </w:r>
      <w:r w:rsidR="00723FB9">
        <w:rPr>
          <w:b/>
          <w:bCs/>
          <w:sz w:val="28"/>
        </w:rPr>
        <w:t xml:space="preserve">Husets lägsta </w:t>
      </w:r>
      <w:r w:rsidR="00164608" w:rsidRPr="00403746">
        <w:rPr>
          <w:b/>
          <w:bCs/>
          <w:sz w:val="28"/>
        </w:rPr>
        <w:t xml:space="preserve">toppeffekt för respektive </w:t>
      </w:r>
      <w:r>
        <w:rPr>
          <w:b/>
          <w:bCs/>
          <w:sz w:val="28"/>
        </w:rPr>
        <w:t>modell</w:t>
      </w:r>
      <w:r w:rsidR="00164608">
        <w:br/>
      </w:r>
      <w:r w:rsidR="00164608">
        <w:lastRenderedPageBreak/>
        <w:t>Ibland sätter man en betydligt större värmepump än normalt</w:t>
      </w:r>
      <w:r w:rsidR="00615BAC">
        <w:t xml:space="preserve"> med anledning av en planerad</w:t>
      </w:r>
      <w:r w:rsidR="00164608">
        <w:t xml:space="preserve"> tillbyggnad</w:t>
      </w:r>
      <w:r w:rsidR="00615BAC">
        <w:t xml:space="preserve"> och utökat värmebehov.</w:t>
      </w:r>
      <w:r w:rsidR="00164608">
        <w:t xml:space="preserve"> </w:t>
      </w:r>
      <w:r w:rsidR="00164608">
        <w:br/>
        <w:t xml:space="preserve">Följande gränser rekommenderas för att säkerställa </w:t>
      </w:r>
      <w:r>
        <w:t xml:space="preserve">bästa </w:t>
      </w:r>
      <w:r w:rsidR="00164608">
        <w:t>ekonomisk drift</w:t>
      </w:r>
      <w:r>
        <w:t xml:space="preserve"> med hjälp av invertertekniken</w:t>
      </w:r>
      <w:r w:rsidR="00164608">
        <w:t xml:space="preserve">. </w:t>
      </w:r>
    </w:p>
    <w:p w:rsidR="00164608" w:rsidRDefault="00A14F22" w:rsidP="00A14F22">
      <w:r w:rsidRPr="00CB13FA">
        <w:rPr>
          <w:b/>
        </w:rPr>
        <w:t xml:space="preserve">Modell </w:t>
      </w:r>
      <w:r w:rsidRPr="00CB13FA">
        <w:rPr>
          <w:b/>
        </w:rPr>
        <w:tab/>
      </w:r>
      <w:r w:rsidRPr="00CB13FA">
        <w:rPr>
          <w:b/>
        </w:rPr>
        <w:tab/>
        <w:t>Min</w:t>
      </w:r>
      <w:r w:rsidR="002A4629" w:rsidRPr="00CB13FA">
        <w:rPr>
          <w:b/>
        </w:rPr>
        <w:t>sta</w:t>
      </w:r>
      <w:r w:rsidRPr="00CB13FA">
        <w:rPr>
          <w:b/>
        </w:rPr>
        <w:t xml:space="preserve"> toppeffekt</w:t>
      </w:r>
      <w:r w:rsidR="00164608" w:rsidRPr="00CB13FA">
        <w:rPr>
          <w:b/>
        </w:rPr>
        <w:br/>
      </w:r>
      <w:r w:rsidR="00106907">
        <w:t>LWM 8</w:t>
      </w:r>
      <w:r w:rsidR="00106907">
        <w:tab/>
      </w:r>
      <w:r>
        <w:tab/>
      </w:r>
      <w:r w:rsidR="00164608">
        <w:t>5kW</w:t>
      </w:r>
    </w:p>
    <w:p w:rsidR="00164608" w:rsidRDefault="00106907" w:rsidP="00164608">
      <w:r>
        <w:t>LWM 12</w:t>
      </w:r>
      <w:r w:rsidR="00164608">
        <w:t xml:space="preserve">             </w:t>
      </w:r>
      <w:r w:rsidR="00A14F22">
        <w:t xml:space="preserve"> </w:t>
      </w:r>
      <w:r w:rsidR="00164608">
        <w:t>7kW</w:t>
      </w:r>
    </w:p>
    <w:p w:rsidR="00164608" w:rsidRDefault="00106907" w:rsidP="00164608">
      <w:pPr>
        <w:spacing w:after="240"/>
      </w:pPr>
      <w:r>
        <w:t>LWM 16</w:t>
      </w:r>
      <w:r w:rsidR="00A14F22">
        <w:tab/>
        <w:t>10kW</w:t>
      </w:r>
    </w:p>
    <w:p w:rsidR="00403746" w:rsidRDefault="00403746">
      <w:pPr>
        <w:spacing w:after="160" w:line="259" w:lineRule="auto"/>
        <w:rPr>
          <w:b/>
          <w:bCs/>
        </w:rPr>
      </w:pPr>
      <w:r>
        <w:rPr>
          <w:b/>
          <w:bCs/>
        </w:rPr>
        <w:br w:type="page"/>
      </w:r>
    </w:p>
    <w:p w:rsidR="00164608" w:rsidRDefault="00164608" w:rsidP="00164608">
      <w:pPr>
        <w:spacing w:after="240"/>
      </w:pPr>
      <w:bookmarkStart w:id="0" w:name="_GoBack"/>
      <w:r w:rsidRPr="00403746">
        <w:rPr>
          <w:b/>
          <w:bCs/>
          <w:sz w:val="28"/>
        </w:rPr>
        <w:lastRenderedPageBreak/>
        <w:t>Min</w:t>
      </w:r>
      <w:r w:rsidR="00403746">
        <w:rPr>
          <w:b/>
          <w:bCs/>
          <w:sz w:val="28"/>
        </w:rPr>
        <w:t>sta b</w:t>
      </w:r>
      <w:r w:rsidRPr="00403746">
        <w:rPr>
          <w:b/>
          <w:bCs/>
          <w:sz w:val="28"/>
        </w:rPr>
        <w:t>orrhålslängd</w:t>
      </w:r>
      <w:r w:rsidRPr="00403746">
        <w:rPr>
          <w:sz w:val="28"/>
        </w:rPr>
        <w:t xml:space="preserve">  </w:t>
      </w:r>
      <w:r>
        <w:t>– vid existerande borrhål/markslinga</w:t>
      </w:r>
      <w:r>
        <w:br/>
      </w:r>
      <w:r w:rsidR="00106907">
        <w:t xml:space="preserve">Vid installation mot existerande borrhål </w:t>
      </w:r>
      <w:r w:rsidR="00615BAC">
        <w:t xml:space="preserve">kan </w:t>
      </w:r>
      <w:r w:rsidR="00106907">
        <w:t xml:space="preserve">7001i </w:t>
      </w:r>
      <w:r w:rsidR="00615BAC">
        <w:t xml:space="preserve">LWM inom rimliga gränser hantera </w:t>
      </w:r>
      <w:r w:rsidR="00106907">
        <w:t>ett något för kort borrhål</w:t>
      </w:r>
      <w:r w:rsidR="00615BAC">
        <w:t xml:space="preserve"> jämfört vid en normal dimensionering</w:t>
      </w:r>
      <w:r w:rsidR="00106907">
        <w:t xml:space="preserve">. Detta genom att begränsa effektuttaget om brinetemperaturen faller under inställd nivå. Det finns dock gränser för hur stor avvikelse som kan hanteras. </w:t>
      </w:r>
      <w:r w:rsidR="00106907">
        <w:br/>
        <w:t>Gör så här:</w:t>
      </w:r>
      <w:r w:rsidR="00106907">
        <w:br/>
        <w:t xml:space="preserve">Utför </w:t>
      </w:r>
      <w:r>
        <w:t>VPW-beräkning på huset och kontrollera resultatet på rekommenderat borrhålsdjup.</w:t>
      </w:r>
      <w:r>
        <w:br/>
        <w:t>Följande nedre gräns finns på hur ”kort” borrhålet kan vara jämfört med den rekommenderade längden. (Tänk på att längden</w:t>
      </w:r>
      <w:r w:rsidR="00403746">
        <w:t xml:space="preserve"> i VPW avser </w:t>
      </w:r>
      <w:r>
        <w:t>aktivt borrhål.)</w:t>
      </w:r>
      <w:r w:rsidR="00106907">
        <w:br/>
        <w:t xml:space="preserve">Längden med foderrör och under grundvattennivå tillgodoräknas till 50% som aktiv borrhålslängd. </w:t>
      </w:r>
      <w:r>
        <w:br/>
      </w:r>
      <w:r>
        <w:br/>
      </w:r>
      <w:r w:rsidR="00106907">
        <w:t>E</w:t>
      </w:r>
      <w:r>
        <w:t xml:space="preserve">xisterande hål eller markslinga ska motsvara minst </w:t>
      </w:r>
      <w:r>
        <w:rPr>
          <w:b/>
          <w:bCs/>
          <w:sz w:val="28"/>
          <w:szCs w:val="28"/>
        </w:rPr>
        <w:t>70%</w:t>
      </w:r>
      <w:r>
        <w:rPr>
          <w:sz w:val="28"/>
          <w:szCs w:val="28"/>
        </w:rPr>
        <w:t xml:space="preserve"> </w:t>
      </w:r>
      <w:r>
        <w:t xml:space="preserve">av beräknad </w:t>
      </w:r>
      <w:r w:rsidR="00403746">
        <w:t xml:space="preserve">aktiv </w:t>
      </w:r>
      <w:r>
        <w:t>längd enligt VPW.</w:t>
      </w:r>
    </w:p>
    <w:p w:rsidR="00164608" w:rsidRDefault="00106907" w:rsidP="00164608">
      <w:r>
        <w:t xml:space="preserve">Exempel#1 </w:t>
      </w:r>
      <w:r>
        <w:br/>
        <w:t xml:space="preserve">En LWM 8 </w:t>
      </w:r>
      <w:r w:rsidR="00164608">
        <w:t>kräver enl VPW 130m borrhål. Tillgängligt är 85m</w:t>
      </w:r>
      <w:r w:rsidR="00164608">
        <w:br/>
        <w:t xml:space="preserve">85/130 = 0,65 </w:t>
      </w:r>
      <w:r w:rsidR="00164608">
        <w:rPr>
          <w:rFonts w:ascii="Wingdings" w:hAnsi="Wingdings"/>
        </w:rPr>
        <w:t></w:t>
      </w:r>
      <w:r w:rsidR="00164608">
        <w:t xml:space="preserve"> 65% av rek borrhål – Ej möjligt.</w:t>
      </w:r>
      <w:r w:rsidR="00164608">
        <w:br/>
      </w:r>
      <w:r w:rsidR="00164608">
        <w:br/>
        <w:t>Exempel#2</w:t>
      </w:r>
    </w:p>
    <w:p w:rsidR="008F016F" w:rsidRPr="00615BAC" w:rsidRDefault="00106907" w:rsidP="00615BAC">
      <w:pPr>
        <w:spacing w:after="240"/>
      </w:pPr>
      <w:r>
        <w:t>En LWM 12</w:t>
      </w:r>
      <w:r w:rsidR="00164608">
        <w:t xml:space="preserve"> kräver enl VPW 200m borrhål. Tillgängligt är 160m.</w:t>
      </w:r>
      <w:r w:rsidR="00164608">
        <w:br/>
        <w:t xml:space="preserve">160/200=0,8 </w:t>
      </w:r>
      <w:r w:rsidR="00164608">
        <w:rPr>
          <w:rFonts w:ascii="Wingdings" w:hAnsi="Wingdings"/>
        </w:rPr>
        <w:t></w:t>
      </w:r>
      <w:r w:rsidR="00164608">
        <w:t xml:space="preserve"> 80% av rek b</w:t>
      </w:r>
      <w:r>
        <w:t>orrhål – OK!</w:t>
      </w:r>
      <w:r>
        <w:br/>
      </w:r>
      <w:r>
        <w:br/>
        <w:t xml:space="preserve">Exempel#3 </w:t>
      </w:r>
      <w:r>
        <w:br/>
        <w:t>En LWM 12</w:t>
      </w:r>
      <w:r w:rsidR="00164608">
        <w:t xml:space="preserve"> kräver 550m markslinga. Tillgängligt är 400m.</w:t>
      </w:r>
      <w:r w:rsidR="00164608">
        <w:br/>
        <w:t xml:space="preserve">400/550=0,72 </w:t>
      </w:r>
      <w:r w:rsidR="00164608">
        <w:rPr>
          <w:rFonts w:ascii="Wingdings" w:hAnsi="Wingdings"/>
        </w:rPr>
        <w:t></w:t>
      </w:r>
      <w:r w:rsidR="00164608">
        <w:t xml:space="preserve"> 72% av rek markslinga – OK!</w:t>
      </w:r>
      <w:r w:rsidR="00164608">
        <w:br/>
      </w:r>
      <w:r w:rsidR="00164608">
        <w:br/>
        <w:t>Observera att värmepumpen under vintersäsongen kommer att ”bromsa in” och leverera en lägre effekt än vad som vore möjligt med ett borrhål</w:t>
      </w:r>
      <w:r w:rsidR="00615BAC">
        <w:t xml:space="preserve"> som dimensionerats i enlighet med VPW</w:t>
      </w:r>
      <w:r w:rsidR="00164608">
        <w:t>.</w:t>
      </w:r>
      <w:r>
        <w:t xml:space="preserve"> </w:t>
      </w:r>
      <w:r w:rsidR="00615BAC">
        <w:br/>
      </w:r>
      <w:r>
        <w:t xml:space="preserve">Under kalla perioder kommer elpatronen att användas som stöttning i ett </w:t>
      </w:r>
      <w:r w:rsidR="00615BAC">
        <w:t xml:space="preserve">betydligt </w:t>
      </w:r>
      <w:r>
        <w:t>tidigare skede än vid ett fulldimensionerat borrhål.</w:t>
      </w:r>
      <w:r>
        <w:br/>
        <w:t>Ge därför kunden möjlighet att överväga en tilläggsborrning och förklara för och nackdelar med alternativen.</w:t>
      </w:r>
      <w:r w:rsidR="00164608">
        <w:br/>
      </w:r>
      <w:r w:rsidR="002828F4">
        <w:t xml:space="preserve">Lägsta tillåtna köldbärartemperatur </w:t>
      </w:r>
      <w:r w:rsidR="00A14F22">
        <w:t xml:space="preserve">är </w:t>
      </w:r>
      <w:r w:rsidR="002828F4">
        <w:t xml:space="preserve">separat </w:t>
      </w:r>
      <w:r w:rsidR="00615BAC">
        <w:t>ställbar i reg</w:t>
      </w:r>
      <w:r w:rsidR="002828F4">
        <w:t>lercentralen för in- respektive utgående brine. Värmepumpen kommer att stegvis reducera effekten när temperaturen närmar sig inställda värden.</w:t>
      </w:r>
      <w:r w:rsidR="00615BAC">
        <w:t xml:space="preserve"> </w:t>
      </w:r>
      <w:bookmarkEnd w:id="0"/>
      <w:r w:rsidR="002828F4">
        <w:br/>
      </w:r>
      <w:r w:rsidR="00615BAC">
        <w:lastRenderedPageBreak/>
        <w:br/>
      </w:r>
      <w:r w:rsidR="00615BAC">
        <w:br/>
      </w:r>
    </w:p>
    <w:p w:rsidR="008F016F" w:rsidRPr="00615BAC" w:rsidRDefault="008F016F" w:rsidP="00164608">
      <w:pPr>
        <w:spacing w:after="240"/>
      </w:pPr>
    </w:p>
    <w:p w:rsidR="00164608" w:rsidRPr="00615BAC" w:rsidRDefault="00164608" w:rsidP="00164608"/>
    <w:p w:rsidR="00164608" w:rsidRPr="00615BAC" w:rsidRDefault="00164608" w:rsidP="00164608"/>
    <w:sectPr w:rsidR="00164608" w:rsidRPr="00615BAC" w:rsidSect="004534DC">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608"/>
    <w:rsid w:val="00056D16"/>
    <w:rsid w:val="00087DD9"/>
    <w:rsid w:val="000A60BA"/>
    <w:rsid w:val="00106907"/>
    <w:rsid w:val="00114F49"/>
    <w:rsid w:val="001215C5"/>
    <w:rsid w:val="00164608"/>
    <w:rsid w:val="002828F4"/>
    <w:rsid w:val="002A4629"/>
    <w:rsid w:val="002D5E70"/>
    <w:rsid w:val="002D6D30"/>
    <w:rsid w:val="00321178"/>
    <w:rsid w:val="00403746"/>
    <w:rsid w:val="004534DC"/>
    <w:rsid w:val="00555508"/>
    <w:rsid w:val="005A4F9C"/>
    <w:rsid w:val="00615BAC"/>
    <w:rsid w:val="006628A2"/>
    <w:rsid w:val="00680427"/>
    <w:rsid w:val="00706BE2"/>
    <w:rsid w:val="00711A38"/>
    <w:rsid w:val="00723FB9"/>
    <w:rsid w:val="00796CA3"/>
    <w:rsid w:val="008254ED"/>
    <w:rsid w:val="00827A61"/>
    <w:rsid w:val="008356CF"/>
    <w:rsid w:val="00880E32"/>
    <w:rsid w:val="008A2D65"/>
    <w:rsid w:val="008E4301"/>
    <w:rsid w:val="008F016F"/>
    <w:rsid w:val="009144AD"/>
    <w:rsid w:val="0094033F"/>
    <w:rsid w:val="00A14F22"/>
    <w:rsid w:val="00AC2D8D"/>
    <w:rsid w:val="00CB13FA"/>
    <w:rsid w:val="00DF4A40"/>
    <w:rsid w:val="00ED7241"/>
    <w:rsid w:val="00FC0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543909-B652-422D-9484-52665F4D8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608"/>
    <w:pPr>
      <w:spacing w:after="0" w:line="240" w:lineRule="auto"/>
    </w:pPr>
    <w:rPr>
      <w:rFonts w:ascii="Calibri" w:hAnsi="Calibri" w:cs="Calibri"/>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534DC"/>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534DC"/>
    <w:rPr>
      <w:rFonts w:ascii="Segoe UI" w:hAnsi="Segoe UI" w:cs="Segoe UI"/>
      <w:sz w:val="18"/>
      <w:szCs w:val="18"/>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05371">
      <w:bodyDiv w:val="1"/>
      <w:marLeft w:val="0"/>
      <w:marRight w:val="0"/>
      <w:marTop w:val="0"/>
      <w:marBottom w:val="0"/>
      <w:divBdr>
        <w:top w:val="none" w:sz="0" w:space="0" w:color="auto"/>
        <w:left w:val="none" w:sz="0" w:space="0" w:color="auto"/>
        <w:bottom w:val="none" w:sz="0" w:space="0" w:color="auto"/>
        <w:right w:val="none" w:sz="0" w:space="0" w:color="auto"/>
      </w:divBdr>
    </w:div>
    <w:div w:id="30914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594</Words>
  <Characters>3389</Characters>
  <Application>Microsoft Office Word</Application>
  <DocSecurity>0</DocSecurity>
  <Lines>28</Lines>
  <Paragraphs>7</Paragraphs>
  <ScaleCrop>false</ScaleCrop>
  <HeadingPairs>
    <vt:vector size="2" baseType="variant">
      <vt:variant>
        <vt:lpstr>Rubrik</vt:lpstr>
      </vt:variant>
      <vt:variant>
        <vt:i4>1</vt:i4>
      </vt:variant>
    </vt:vector>
  </HeadingPairs>
  <TitlesOfParts>
    <vt:vector size="1" baseType="lpstr">
      <vt:lpstr/>
    </vt:vector>
  </TitlesOfParts>
  <Company>BOSCH Group</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Drugge Styrbjorn (TT/SSE-MKT)</dc:creator>
  <cp:keywords/>
  <dc:description/>
  <cp:lastModifiedBy>Tzimourtas Helena (TT/SSE-MKT)</cp:lastModifiedBy>
  <cp:revision>2</cp:revision>
  <cp:lastPrinted>2019-02-13T06:56:00Z</cp:lastPrinted>
  <dcterms:created xsi:type="dcterms:W3CDTF">2019-04-02T08:36:00Z</dcterms:created>
  <dcterms:modified xsi:type="dcterms:W3CDTF">2019-04-02T08:36:00Z</dcterms:modified>
</cp:coreProperties>
</file>